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940B" w14:textId="083E5848" w:rsidR="00340F34" w:rsidRPr="0003309D"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Impact </w:t>
      </w:r>
      <w:r w:rsidR="00E778B2">
        <w:rPr>
          <w:rFonts w:asciiTheme="minorHAnsi" w:hAnsiTheme="minorHAnsi" w:cs="Arial"/>
          <w:b/>
          <w:sz w:val="48"/>
          <w:szCs w:val="48"/>
          <w:lang w:eastAsia="en-US"/>
        </w:rPr>
        <w:t>G</w:t>
      </w:r>
      <w:r w:rsidRPr="0003309D">
        <w:rPr>
          <w:rFonts w:asciiTheme="minorHAnsi" w:hAnsiTheme="minorHAnsi" w:cs="Arial"/>
          <w:b/>
          <w:sz w:val="48"/>
          <w:szCs w:val="48"/>
          <w:lang w:eastAsia="en-US"/>
        </w:rPr>
        <w:t>rants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04896EFB" w14:textId="168880A4" w:rsid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Impact Projects refer to large-scale, multidisciplinary research initiatives </w:t>
      </w:r>
      <w:r w:rsidR="00644270" w:rsidRPr="0003309D">
        <w:rPr>
          <w:rFonts w:asciiTheme="minorHAnsi" w:hAnsiTheme="minorHAnsi" w:cs="Arial"/>
          <w:color w:val="000000"/>
          <w:lang w:val="en-US" w:eastAsia="en-US"/>
        </w:rPr>
        <w:t xml:space="preserve">designed </w:t>
      </w:r>
      <w:r w:rsidRPr="0003309D">
        <w:rPr>
          <w:rFonts w:asciiTheme="minorHAnsi" w:hAnsiTheme="minorHAnsi" w:cs="Arial"/>
          <w:color w:val="000000"/>
          <w:lang w:val="en-US" w:eastAsia="en-US"/>
        </w:rPr>
        <w:t>to develop and implement new technologies and solutions for the electrification of society.</w:t>
      </w:r>
      <w:r w:rsidR="007E2E5F">
        <w:rPr>
          <w:rFonts w:asciiTheme="minorHAnsi" w:hAnsiTheme="minorHAnsi" w:cs="Arial"/>
          <w:color w:val="000000"/>
          <w:lang w:val="en-US" w:eastAsia="en-US"/>
        </w:rPr>
        <w:t xml:space="preserve"> </w:t>
      </w:r>
      <w:r w:rsidR="007E2E5F" w:rsidRPr="007E2E5F">
        <w:rPr>
          <w:rFonts w:asciiTheme="minorHAnsi" w:hAnsiTheme="minorHAnsi" w:cs="Arial"/>
          <w:color w:val="000000"/>
          <w:lang w:eastAsia="en-US"/>
        </w:rPr>
        <w:t xml:space="preserve">We aim to identify and support transformative, high-impact projects and </w:t>
      </w:r>
      <w:r w:rsidR="00E778B2">
        <w:rPr>
          <w:rFonts w:asciiTheme="minorHAnsi" w:hAnsiTheme="minorHAnsi" w:cs="Arial"/>
          <w:color w:val="000000"/>
          <w:lang w:eastAsia="en-US"/>
        </w:rPr>
        <w:t>l</w:t>
      </w:r>
      <w:r w:rsidR="007E2E5F" w:rsidRPr="007E2E5F">
        <w:rPr>
          <w:rFonts w:asciiTheme="minorHAnsi" w:hAnsiTheme="minorHAnsi" w:cs="Arial"/>
          <w:color w:val="000000"/>
          <w:lang w:eastAsia="en-US"/>
        </w:rPr>
        <w:t>iving Labs that demonstrate innovative solutions to decarbonization. Proposals must exhibit the potential for significant, sustained, scalable, and replicable impacts, aligning with Canada’s decarbonization goals and setting a benchmark for future sustainability initiatives.</w:t>
      </w:r>
      <w:r w:rsidR="007E2E5F">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A broad range of</w:t>
      </w:r>
      <w:r w:rsidR="00766738" w:rsidRPr="0003309D">
        <w:rPr>
          <w:rFonts w:asciiTheme="minorHAnsi" w:hAnsiTheme="minorHAnsi" w:cs="Arial"/>
          <w:color w:val="000000"/>
          <w:lang w:val="en-US" w:eastAsia="en-US"/>
        </w:rPr>
        <w:t xml:space="preserve"> academic,</w:t>
      </w:r>
      <w:r w:rsidRPr="0003309D">
        <w:rPr>
          <w:rFonts w:asciiTheme="minorHAnsi" w:hAnsiTheme="minorHAnsi" w:cs="Arial"/>
          <w:color w:val="000000"/>
          <w:lang w:val="en-US" w:eastAsia="en-US"/>
        </w:rPr>
        <w:t xml:space="preserve"> public</w:t>
      </w:r>
      <w:r w:rsidR="00766738" w:rsidRPr="0003309D">
        <w:rPr>
          <w:rFonts w:asciiTheme="minorHAnsi" w:hAnsiTheme="minorHAnsi" w:cs="Arial"/>
          <w:color w:val="000000"/>
          <w:lang w:val="en-US" w:eastAsia="en-US"/>
        </w:rPr>
        <w:t>, community</w:t>
      </w:r>
      <w:r w:rsidRPr="0003309D">
        <w:rPr>
          <w:rFonts w:asciiTheme="minorHAnsi" w:hAnsiTheme="minorHAnsi" w:cs="Arial"/>
          <w:color w:val="000000"/>
          <w:lang w:val="en-US" w:eastAsia="en-US"/>
        </w:rPr>
        <w:t xml:space="preserve"> and private partners </w:t>
      </w:r>
      <w:r w:rsidR="00644270" w:rsidRPr="0003309D">
        <w:rPr>
          <w:rFonts w:asciiTheme="minorHAnsi" w:hAnsiTheme="minorHAnsi" w:cs="Arial"/>
          <w:color w:val="000000"/>
          <w:lang w:val="en-US" w:eastAsia="en-US"/>
        </w:rPr>
        <w:t xml:space="preserve">must </w:t>
      </w:r>
      <w:r w:rsidRPr="0003309D">
        <w:rPr>
          <w:rFonts w:asciiTheme="minorHAnsi" w:hAnsiTheme="minorHAnsi" w:cs="Arial"/>
          <w:color w:val="000000"/>
          <w:lang w:val="en-US" w:eastAsia="en-US"/>
        </w:rPr>
        <w:t xml:space="preserve">be involved in Impact Projects to demonstrate real and significant impacts focusing on innovation, economic viability, equity, and the well-being of society. </w:t>
      </w:r>
    </w:p>
    <w:p w14:paraId="0C64D354" w14:textId="77777777" w:rsidR="007E2E5F" w:rsidRDefault="007E2E5F" w:rsidP="007E2E5F">
      <w:pPr>
        <w:spacing w:afterLines="20" w:after="48"/>
        <w:outlineLvl w:val="1"/>
        <w:rPr>
          <w:rFonts w:asciiTheme="minorHAnsi" w:hAnsiTheme="minorHAnsi" w:cs="Arial"/>
          <w:color w:val="000000"/>
          <w:lang w:val="en-US" w:eastAsia="en-US"/>
        </w:rPr>
      </w:pPr>
    </w:p>
    <w:p w14:paraId="4FC80F17" w14:textId="0497BDF7" w:rsidR="00F25EF8" w:rsidRP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There will be approximately 10 Impact Projects selected by</w:t>
      </w:r>
      <w:r w:rsidR="00F30B56">
        <w:rPr>
          <w:rFonts w:asciiTheme="minorHAnsi" w:hAnsiTheme="minorHAnsi" w:cs="Arial"/>
          <w:color w:val="000000"/>
          <w:lang w:val="en-US" w:eastAsia="en-US"/>
        </w:rPr>
        <w:t xml:space="preserve"> the</w:t>
      </w:r>
      <w:r w:rsidRPr="0003309D">
        <w:rPr>
          <w:rFonts w:asciiTheme="minorHAnsi" w:hAnsiTheme="minorHAnsi" w:cs="Arial"/>
          <w:color w:val="000000"/>
          <w:lang w:val="en-US" w:eastAsia="en-US"/>
        </w:rPr>
        <w:t xml:space="preserve"> Volt-Age</w:t>
      </w:r>
      <w:r w:rsidR="007E2E5F">
        <w:rPr>
          <w:rFonts w:asciiTheme="minorHAnsi" w:hAnsiTheme="minorHAnsi" w:cs="Arial"/>
          <w:color w:val="000000"/>
          <w:lang w:val="en-US" w:eastAsia="en-US"/>
        </w:rPr>
        <w:t xml:space="preserve"> CFREF</w:t>
      </w:r>
      <w:r w:rsidRPr="0003309D">
        <w:rPr>
          <w:rFonts w:asciiTheme="minorHAnsi" w:hAnsiTheme="minorHAnsi" w:cs="Arial"/>
          <w:color w:val="000000"/>
          <w:lang w:val="en-US" w:eastAsia="en-US"/>
        </w:rPr>
        <w:t>. Each successful project will be awarded up to $4M funding from the Volt-Age CFREF</w:t>
      </w:r>
      <w:r w:rsidR="00F83C98" w:rsidRPr="0003309D">
        <w:rPr>
          <w:rFonts w:asciiTheme="minorHAnsi" w:hAnsiTheme="minorHAnsi" w:cs="Arial"/>
          <w:color w:val="000000"/>
          <w:lang w:val="en-US" w:eastAsia="en-US"/>
        </w:rPr>
        <w:t xml:space="preserve">, for projects </w:t>
      </w:r>
      <w:r w:rsidR="008C4546" w:rsidRPr="0003309D">
        <w:rPr>
          <w:rFonts w:asciiTheme="minorHAnsi" w:hAnsiTheme="minorHAnsi" w:cs="Arial"/>
          <w:color w:val="000000"/>
          <w:lang w:val="en-US" w:eastAsia="en-US"/>
        </w:rPr>
        <w:t>lasting 4</w:t>
      </w:r>
      <w:r w:rsidRPr="0003309D">
        <w:rPr>
          <w:rFonts w:asciiTheme="minorHAnsi" w:hAnsiTheme="minorHAnsi" w:cs="Arial"/>
          <w:color w:val="000000"/>
          <w:lang w:val="en-US" w:eastAsia="en-US"/>
        </w:rPr>
        <w:t xml:space="preserve"> years. Impact Projects </w:t>
      </w:r>
      <w:r w:rsidR="00961780" w:rsidRPr="0003309D">
        <w:rPr>
          <w:rFonts w:asciiTheme="minorHAnsi" w:hAnsiTheme="minorHAnsi" w:cs="Arial"/>
          <w:color w:val="000000"/>
          <w:lang w:val="en-US" w:eastAsia="en-US"/>
        </w:rPr>
        <w:t>should</w:t>
      </w:r>
      <w:r w:rsidRPr="0003309D">
        <w:rPr>
          <w:rFonts w:asciiTheme="minorHAnsi" w:hAnsiTheme="minorHAnsi" w:cs="Arial"/>
          <w:color w:val="000000"/>
          <w:lang w:val="en-US" w:eastAsia="en-US"/>
        </w:rPr>
        <w:t xml:space="preserve"> be articulated around students. Our </w:t>
      </w:r>
      <w:r w:rsidR="00766738" w:rsidRPr="0003309D">
        <w:rPr>
          <w:rFonts w:asciiTheme="minorHAnsi" w:hAnsiTheme="minorHAnsi" w:cs="Arial"/>
          <w:color w:val="000000"/>
          <w:lang w:val="en-US" w:eastAsia="en-US"/>
        </w:rPr>
        <w:t>goal</w:t>
      </w:r>
      <w:r w:rsidRPr="0003309D">
        <w:rPr>
          <w:rFonts w:asciiTheme="minorHAnsi" w:hAnsiTheme="minorHAnsi" w:cs="Arial"/>
          <w:color w:val="000000"/>
          <w:lang w:val="en-US" w:eastAsia="en-US"/>
        </w:rPr>
        <w:t xml:space="preserve"> is to </w:t>
      </w:r>
      <w:r w:rsidR="00766738" w:rsidRPr="0003309D">
        <w:rPr>
          <w:rFonts w:asciiTheme="minorHAnsi" w:hAnsiTheme="minorHAnsi" w:cs="Arial"/>
          <w:color w:val="000000"/>
          <w:lang w:val="en-US" w:eastAsia="en-US"/>
        </w:rPr>
        <w:t>recruit</w:t>
      </w:r>
      <w:r w:rsidRPr="0003309D">
        <w:rPr>
          <w:rFonts w:asciiTheme="minorHAnsi" w:hAnsiTheme="minorHAnsi" w:cs="Arial"/>
          <w:color w:val="000000"/>
          <w:lang w:val="en-US" w:eastAsia="en-US"/>
        </w:rPr>
        <w:t xml:space="preserve"> </w:t>
      </w:r>
      <w:r w:rsidR="00766738" w:rsidRPr="0003309D">
        <w:rPr>
          <w:rFonts w:asciiTheme="minorHAnsi" w:hAnsiTheme="minorHAnsi" w:cs="Arial"/>
          <w:color w:val="000000"/>
          <w:lang w:val="en-US" w:eastAsia="en-US"/>
        </w:rPr>
        <w:t xml:space="preserve">up to </w:t>
      </w:r>
      <w:r w:rsidRPr="0003309D">
        <w:rPr>
          <w:rFonts w:asciiTheme="minorHAnsi" w:hAnsiTheme="minorHAnsi" w:cs="Arial"/>
          <w:color w:val="000000"/>
          <w:lang w:val="en-US" w:eastAsia="en-US"/>
        </w:rPr>
        <w:t>250 PhD students in the Volt-Age Cohort who will be</w:t>
      </w:r>
      <w:r w:rsidR="00644270" w:rsidRPr="0003309D">
        <w:rPr>
          <w:rFonts w:asciiTheme="minorHAnsi" w:hAnsiTheme="minorHAnsi" w:cs="Arial"/>
          <w:color w:val="000000"/>
          <w:lang w:val="en-US" w:eastAsia="en-US"/>
        </w:rPr>
        <w:t xml:space="preserve"> at</w:t>
      </w:r>
      <w:r w:rsidRPr="0003309D">
        <w:rPr>
          <w:rFonts w:asciiTheme="minorHAnsi" w:hAnsiTheme="minorHAnsi" w:cs="Arial"/>
          <w:color w:val="000000"/>
          <w:lang w:val="en-US" w:eastAsia="en-US"/>
        </w:rPr>
        <w:t xml:space="preserve"> the heart of Volt-Age Impact Projects.</w:t>
      </w:r>
      <w:r w:rsidRPr="0003309D">
        <w:rPr>
          <w:rFonts w:asciiTheme="minorHAnsi" w:hAnsiTheme="minorHAnsi" w:cs="Arial"/>
          <w:b/>
          <w:bCs/>
          <w:color w:val="000000"/>
          <w:lang w:val="en-US" w:eastAsia="en-US"/>
        </w:rPr>
        <w:t xml:space="preserve"> </w:t>
      </w:r>
    </w:p>
    <w:p w14:paraId="71315CBC" w14:textId="77777777" w:rsidR="00F83C98" w:rsidRPr="0003309D" w:rsidRDefault="00F83C98" w:rsidP="00F25EF8">
      <w:pPr>
        <w:spacing w:afterLines="20" w:after="48"/>
        <w:outlineLvl w:val="1"/>
        <w:rPr>
          <w:rFonts w:asciiTheme="minorHAnsi" w:hAnsiTheme="minorHAnsi" w:cs="Arial"/>
          <w:b/>
          <w:bCs/>
          <w:color w:val="000000"/>
          <w:lang w:val="en-US" w:eastAsia="en-US"/>
        </w:rPr>
      </w:pPr>
    </w:p>
    <w:p w14:paraId="69141854" w14:textId="48D84D5A" w:rsidR="00F83C98" w:rsidRPr="0003309D" w:rsidRDefault="00F83C98" w:rsidP="00F83C9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Eligibility</w:t>
      </w:r>
    </w:p>
    <w:p w14:paraId="1877A176" w14:textId="77777777" w:rsidR="008C4546" w:rsidRPr="0003309D"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5BA81EE5"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5-9 co-applicants. </w:t>
      </w:r>
      <w:r w:rsidR="00EC12C2" w:rsidRPr="0003309D">
        <w:rPr>
          <w:rFonts w:asciiTheme="minorHAnsi" w:hAnsiTheme="minorHAnsi" w:cs="Arial"/>
          <w:color w:val="000000"/>
          <w:lang w:val="en-US" w:eastAsia="en-US"/>
        </w:rPr>
        <w:t>Up to 2 co-</w:t>
      </w:r>
      <w:r w:rsidR="009F18A5">
        <w:rPr>
          <w:rFonts w:asciiTheme="minorHAnsi" w:hAnsiTheme="minorHAnsi" w:cs="Arial"/>
          <w:color w:val="000000"/>
          <w:lang w:val="en-US" w:eastAsia="en-US"/>
        </w:rPr>
        <w:t>applicants</w:t>
      </w:r>
      <w:r w:rsidR="009F18A5" w:rsidRPr="0003309D">
        <w:rPr>
          <w:rFonts w:asciiTheme="minorHAnsi" w:hAnsiTheme="minorHAnsi" w:cs="Arial"/>
          <w:color w:val="000000"/>
          <w:lang w:val="en-US" w:eastAsia="en-US"/>
        </w:rPr>
        <w:t xml:space="preserve"> </w:t>
      </w:r>
      <w:r w:rsidR="00EC12C2" w:rsidRPr="0003309D">
        <w:rPr>
          <w:rFonts w:asciiTheme="minorHAnsi" w:hAnsiTheme="minorHAnsi" w:cs="Arial"/>
          <w:color w:val="000000"/>
          <w:lang w:val="en-US" w:eastAsia="en-US"/>
        </w:rPr>
        <w:t>can be</w:t>
      </w:r>
      <w:r w:rsidR="00644270" w:rsidRPr="0003309D">
        <w:rPr>
          <w:rFonts w:asciiTheme="minorHAnsi" w:hAnsiTheme="minorHAnsi" w:cs="Arial"/>
          <w:color w:val="000000"/>
          <w:lang w:val="en-US" w:eastAsia="en-US"/>
        </w:rPr>
        <w:t xml:space="preserve"> from</w:t>
      </w:r>
      <w:r w:rsidR="00EC12C2" w:rsidRPr="0003309D">
        <w:rPr>
          <w:rFonts w:asciiTheme="minorHAnsi" w:hAnsiTheme="minorHAnsi" w:cs="Arial"/>
          <w:color w:val="000000"/>
          <w:lang w:val="en-US" w:eastAsia="en-US"/>
        </w:rPr>
        <w:t xml:space="preserve"> collaborating universities</w:t>
      </w:r>
      <w:r w:rsidR="002C4D6E" w:rsidRPr="0003309D">
        <w:rPr>
          <w:rFonts w:asciiTheme="minorHAnsi" w:hAnsiTheme="minorHAnsi" w:cs="Arial"/>
          <w:color w:val="000000"/>
          <w:lang w:val="en-US" w:eastAsia="en-US"/>
        </w:rPr>
        <w:t xml:space="preserve">.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1C93BBA0"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491937">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Figures and tables are </w:t>
      </w:r>
      <w:proofErr w:type="gramStart"/>
      <w:r w:rsidRPr="0003309D">
        <w:rPr>
          <w:rFonts w:asciiTheme="minorHAnsi" w:hAnsiTheme="minorHAnsi" w:cs="Arial"/>
          <w:color w:val="000000"/>
          <w:sz w:val="24"/>
          <w:szCs w:val="24"/>
          <w:lang w:val="en-US" w:eastAsia="en-US"/>
        </w:rPr>
        <w:t>welcome</w:t>
      </w:r>
      <w:r w:rsidR="00506923">
        <w:rPr>
          <w:rFonts w:asciiTheme="minorHAnsi" w:hAnsiTheme="minorHAnsi" w:cs="Arial"/>
          <w:color w:val="000000"/>
          <w:sz w:val="24"/>
          <w:szCs w:val="24"/>
          <w:lang w:val="en-US" w:eastAsia="en-US"/>
        </w:rPr>
        <w:t>, but</w:t>
      </w:r>
      <w:proofErr w:type="gramEnd"/>
      <w:r w:rsidR="00506923">
        <w:rPr>
          <w:rFonts w:asciiTheme="minorHAnsi" w:hAnsiTheme="minorHAnsi" w:cs="Arial"/>
          <w:color w:val="000000"/>
          <w:sz w:val="24"/>
          <w:szCs w:val="24"/>
          <w:lang w:val="en-US" w:eastAsia="en-US"/>
        </w:rPr>
        <w:t xml:space="preserve">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0637A7C1" w14:textId="38F15B2B" w:rsidR="00340F34" w:rsidRPr="0003309D" w:rsidRDefault="00340F34" w:rsidP="00340F34">
      <w:pPr>
        <w:pStyle w:val="Heading1"/>
        <w:spacing w:before="120" w:after="120"/>
        <w:rPr>
          <w:rFonts w:asciiTheme="minorHAnsi" w:hAnsiTheme="minorHAnsi"/>
        </w:rPr>
      </w:pPr>
      <w:r w:rsidRPr="0003309D">
        <w:rPr>
          <w:rFonts w:asciiTheme="minorHAnsi" w:hAnsiTheme="minorHAnsi"/>
        </w:rPr>
        <w:lastRenderedPageBreak/>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04804FD5" w14:textId="2BAA1CBF" w:rsidR="00340F34" w:rsidRDefault="00340F34" w:rsidP="00340F34">
      <w:pPr>
        <w:spacing w:before="120" w:after="120"/>
        <w:rPr>
          <w:rFonts w:asciiTheme="minorHAnsi" w:hAnsiTheme="minorHAnsi"/>
        </w:rPr>
      </w:pPr>
      <w:r w:rsidRPr="0003309D">
        <w:rPr>
          <w:rFonts w:asciiTheme="minorHAnsi" w:hAnsiTheme="minorHAnsi"/>
          <w:highlight w:val="lightGray"/>
        </w:rPr>
        <w:t xml:space="preserve">INSERT YOUR TEXT </w:t>
      </w:r>
      <w:r w:rsidR="00491937">
        <w:rPr>
          <w:rFonts w:asciiTheme="minorHAnsi" w:hAnsiTheme="minorHAnsi"/>
          <w:highlight w:val="lightGray"/>
        </w:rPr>
        <w:t>BELOW</w:t>
      </w:r>
      <w:r w:rsidRPr="0003309D">
        <w:rPr>
          <w:rFonts w:asciiTheme="minorHAnsi" w:hAnsiTheme="minorHAnsi"/>
          <w:highlight w:val="lightGray"/>
        </w:rPr>
        <w:t>, RESPONDING TO EACH OF THE ABOVE POINTS</w:t>
      </w:r>
    </w:p>
    <w:p w14:paraId="01425A9A" w14:textId="0CD47ABE"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1"/>
            <w:enabled/>
            <w:calcOnExit w:val="0"/>
            <w:statusText w:type="text" w:val="INSERT YOUR TEXT BELOW, RESPONDING TO EACH OF THE ABOVE POINTS"/>
            <w:textInput>
              <w:maxLength w:val="3000"/>
            </w:textInput>
          </w:ffData>
        </w:fldChar>
      </w:r>
      <w:bookmarkStart w:id="0" w:name="Text1"/>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0"/>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07F8F6F9"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8">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17DB9483"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56BD22C4" w:rsidR="00A253CC" w:rsidRPr="0003309D" w:rsidRDefault="00A253CC" w:rsidP="003439AA">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0438A72C"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lastRenderedPageBreak/>
              <w:t>Platforms</w:t>
            </w:r>
          </w:p>
          <w:p w14:paraId="744EF678"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5CFCC0D0"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6726FFDD"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254534A8"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1" w:name="Check2"/>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6C72E3E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2" w:name="Check3"/>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0B41A66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3" w:name="Check4"/>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3"/>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523677E2"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4" w:name="Check5"/>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7C0B56E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5" w:name="Check6"/>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4DABBD0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6" w:name="Check7"/>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4AD4D7A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7" w:name="Check8"/>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0B9AF05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8" w:name="Check9"/>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27AC9E7F"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9" w:name="Check10"/>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00E20D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0" w:name="Check11"/>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02B8200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1" w:name="Check12"/>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631DF826"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2" w:name="Check13"/>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1682318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3" w:name="Check14"/>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105FACD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14" w:name="Check15"/>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64EB3CD2"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lastRenderedPageBreak/>
        <w:t>Describe the importance of the topic to Canada and how the expected outcomes will</w:t>
      </w:r>
      <w:r w:rsidR="00766738" w:rsidRPr="0003309D">
        <w:rPr>
          <w:rFonts w:asciiTheme="minorHAnsi" w:hAnsiTheme="minorHAnsi"/>
        </w:rPr>
        <w:t xml:space="preserve"> </w:t>
      </w:r>
      <w:r w:rsidRPr="0003309D">
        <w:rPr>
          <w:rFonts w:asciiTheme="minorHAnsi" w:hAnsiTheme="minorHAnsi"/>
        </w:rPr>
        <w:t>benefit Canada.</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t>Describe how partner organizations will leverage the project’s outcomes to drive economic growth, enhance societal well-being, and foster innovation in Canada after the project's completion.</w:t>
      </w:r>
    </w:p>
    <w:p w14:paraId="00EFD3A6" w14:textId="68C48E3F" w:rsidR="00961780"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B7621D" w14:textId="57501CB9" w:rsidR="00491937" w:rsidRDefault="00491937" w:rsidP="00491937">
      <w:pPr>
        <w:spacing w:before="120" w:after="120"/>
        <w:rPr>
          <w:rFonts w:asciiTheme="minorHAnsi" w:hAnsiTheme="minorHAnsi"/>
        </w:rPr>
      </w:pPr>
      <w:r>
        <w:rPr>
          <w:rFonts w:asciiTheme="minorHAnsi" w:hAnsiTheme="minorHAnsi"/>
          <w:highlight w:val="lightGray"/>
        </w:rPr>
        <w:fldChar w:fldCharType="begin">
          <w:ffData>
            <w:name w:val="Text2"/>
            <w:enabled/>
            <w:calcOnExit w:val="0"/>
            <w:statusText w:type="text" w:val="INSERT YOUR TEXT BELOW, RESPONDING TO EACH OF THE ABOVE POINTS"/>
            <w:textInput>
              <w:maxLength w:val="6000"/>
            </w:textInput>
          </w:ffData>
        </w:fldChar>
      </w:r>
      <w:bookmarkStart w:id="15" w:name="Text2"/>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15"/>
    </w:p>
    <w:p w14:paraId="523175A5" w14:textId="77777777" w:rsidR="00491937" w:rsidRPr="0003309D" w:rsidRDefault="00491937" w:rsidP="00491937">
      <w:pPr>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lastRenderedPageBreak/>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19"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FAACCA3" w14:textId="77777777"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1482C6EC"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lastRenderedPageBreak/>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Explain how each partner organization will be actively involved (through cash and/or in-kind contributions) in co-designing and implementing the 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w:t>
      </w:r>
      <w:proofErr w:type="spellStart"/>
      <w:r w:rsidR="00E52B0E">
        <w:rPr>
          <w:rFonts w:asciiTheme="minorHAnsi" w:eastAsia="Times New Roman" w:hAnsiTheme="minorHAnsi"/>
        </w:rPr>
        <w:t>M</w:t>
      </w:r>
      <w:r w:rsidRPr="0003309D">
        <w:rPr>
          <w:rFonts w:asciiTheme="minorHAnsi" w:eastAsia="Times New Roman" w:hAnsiTheme="minorHAnsi"/>
        </w:rPr>
        <w:t>oUs</w:t>
      </w:r>
      <w:proofErr w:type="spellEnd"/>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lastRenderedPageBreak/>
        <w:t xml:space="preserve">When private sector partners are involved, a risk assessment and mitigation plan must be completed in accordance with the </w:t>
      </w:r>
      <w:hyperlink r:id="rId20"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6E1664F"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4F9637E" w14:textId="647FA37B"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3"/>
            <w:enabled/>
            <w:calcOnExit w:val="0"/>
            <w:statusText w:type="text" w:val="INSERT YOUR TEXT BELOW, RESPONDING TO EACH OF THE ABOVE POINTS"/>
            <w:textInput>
              <w:maxLength w:val="18000"/>
            </w:textInput>
          </w:ffData>
        </w:fldChar>
      </w:r>
      <w:bookmarkStart w:id="16" w:name="Text3"/>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16"/>
    </w:p>
    <w:p w14:paraId="2D8DC73E" w14:textId="77777777" w:rsidR="00E52B0E" w:rsidRDefault="00E52B0E" w:rsidP="00340F34">
      <w:pPr>
        <w:pStyle w:val="Heading1"/>
        <w:spacing w:before="120" w:after="120"/>
        <w:rPr>
          <w:rFonts w:asciiTheme="minorHAnsi" w:hAnsiTheme="minorHAnsi"/>
        </w:rPr>
      </w:pPr>
    </w:p>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t>Describe your data management plan throughout the research process and the entire data life cycle.</w:t>
      </w:r>
    </w:p>
    <w:p w14:paraId="5D50A01D" w14:textId="4DA36F9D" w:rsidR="00FD2A03" w:rsidRPr="0003309D" w:rsidRDefault="00FD2A03" w:rsidP="00766738">
      <w:pPr>
        <w:pStyle w:val="ListParagraph"/>
        <w:numPr>
          <w:ilvl w:val="0"/>
          <w:numId w:val="14"/>
        </w:numPr>
        <w:spacing w:before="120" w:after="120"/>
        <w:rPr>
          <w:rFonts w:asciiTheme="minorHAnsi" w:hAnsiTheme="minorHAnsi"/>
          <w:sz w:val="28"/>
          <w:szCs w:val="28"/>
        </w:rPr>
      </w:pPr>
      <w:r w:rsidRPr="0003309D">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54BC0B1B"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7CB8DB34" w14:textId="235210DA" w:rsidR="00491937" w:rsidRDefault="00491937" w:rsidP="00340F34">
      <w:pPr>
        <w:spacing w:before="120" w:after="120"/>
        <w:rPr>
          <w:rFonts w:asciiTheme="minorHAnsi" w:hAnsiTheme="minorHAnsi"/>
        </w:rPr>
      </w:pPr>
      <w:r>
        <w:rPr>
          <w:rFonts w:asciiTheme="minorHAnsi" w:hAnsiTheme="minorHAnsi"/>
        </w:rPr>
        <w:fldChar w:fldCharType="begin">
          <w:ffData>
            <w:name w:val="Text4"/>
            <w:enabled/>
            <w:calcOnExit w:val="0"/>
            <w:statusText w:type="text" w:val="INSERT YOUR TEXT BELOW, RESPONDING TO EACH OF THE ABOVE POINTS"/>
            <w:textInput>
              <w:maxLength w:val="24000"/>
            </w:textInput>
          </w:ffData>
        </w:fldChar>
      </w:r>
      <w:bookmarkStart w:id="17"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p w14:paraId="45A803A6" w14:textId="77777777" w:rsidR="001956D6" w:rsidRPr="0003309D" w:rsidRDefault="001956D6"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lastRenderedPageBreak/>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58102FDB"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78D422A5" w14:textId="29C66898"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w:textInput>
              <w:maxLength w:val="12000"/>
            </w:textInput>
          </w:ffData>
        </w:fldChar>
      </w:r>
      <w:bookmarkStart w:id="18"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2EE4B614"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20707662" w14:textId="35FDDE66" w:rsidR="00491937" w:rsidRPr="0003309D" w:rsidRDefault="00491937" w:rsidP="00D5343F">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w:textInput>
              <w:maxLength w:val="3000"/>
            </w:textInput>
          </w:ffData>
        </w:fldChar>
      </w:r>
      <w:bookmarkStart w:id="19"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5E61FB0B"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 xml:space="preserve">/yr up to two </w:t>
      </w:r>
      <w:proofErr w:type="gramStart"/>
      <w:r w:rsidR="00766738" w:rsidRPr="0003309D">
        <w:rPr>
          <w:rFonts w:asciiTheme="minorHAnsi" w:hAnsiTheme="minorHAnsi"/>
        </w:rPr>
        <w:t>years</w:t>
      </w:r>
      <w:r w:rsidR="00C84F85" w:rsidRPr="0003309D">
        <w:rPr>
          <w:rFonts w:asciiTheme="minorHAnsi" w:hAnsiTheme="minorHAnsi"/>
        </w:rPr>
        <w:t>;  PhD</w:t>
      </w:r>
      <w:proofErr w:type="gramEnd"/>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/yr up to 4 years</w:t>
      </w:r>
      <w:r w:rsidR="00C84F85" w:rsidRPr="0003309D">
        <w:rPr>
          <w:rFonts w:asciiTheme="minorHAnsi" w:hAnsiTheme="minorHAnsi"/>
        </w:rPr>
        <w:t>;  Post-Doctoral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051AC103" w:rsidR="00766AC9" w:rsidRPr="0003309D"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3F7DA7">
        <w:rPr>
          <w:rFonts w:asciiTheme="minorHAnsi" w:hAnsiTheme="minorHAnsi"/>
          <w:i/>
          <w:iCs/>
        </w:rPr>
        <w:t>2</w:t>
      </w:r>
      <w:r w:rsidR="001A207C" w:rsidRPr="0003309D">
        <w:rPr>
          <w:rFonts w:asciiTheme="minorHAnsi" w:hAnsiTheme="minorHAnsi"/>
          <w:i/>
          <w:iCs/>
        </w:rPr>
        <w:t xml:space="preserve"> 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r w:rsidR="009A0E4B" w:rsidRPr="0003309D">
        <w:rPr>
          <w:rFonts w:asciiTheme="minorHAnsi" w:hAnsiTheme="minorHAnsi"/>
        </w:rPr>
        <w:t xml:space="preserve">e.g. </w:t>
      </w:r>
      <w:r w:rsidR="004C6FA7" w:rsidRPr="0003309D">
        <w:rPr>
          <w:rFonts w:asciiTheme="minorHAnsi" w:hAnsiTheme="minorHAnsi"/>
        </w:rPr>
        <w:t>a</w:t>
      </w:r>
      <w:r w:rsidR="000A0087" w:rsidRPr="0003309D">
        <w:rPr>
          <w:rFonts w:asciiTheme="minorHAnsi" w:hAnsiTheme="minorHAnsi"/>
        </w:rPr>
        <w:t xml:space="preserve"> small team of </w:t>
      </w:r>
      <w:r w:rsidR="000A2D44" w:rsidRPr="0003309D">
        <w:rPr>
          <w:rFonts w:asciiTheme="minorHAnsi" w:hAnsiTheme="minorHAnsi"/>
        </w:rPr>
        <w:t>6 researcher</w:t>
      </w:r>
      <w:r w:rsidR="004C6FA7" w:rsidRPr="0003309D">
        <w:rPr>
          <w:rFonts w:asciiTheme="minorHAnsi" w:hAnsiTheme="minorHAnsi"/>
        </w:rPr>
        <w:t>s</w:t>
      </w:r>
      <w:r w:rsidR="001A207C" w:rsidRPr="0003309D">
        <w:rPr>
          <w:rFonts w:asciiTheme="minorHAnsi" w:hAnsiTheme="minorHAnsi"/>
        </w:rPr>
        <w:t xml:space="preserve"> should recruit a minimum total of 1</w:t>
      </w:r>
      <w:r w:rsidR="003F7DA7">
        <w:rPr>
          <w:rFonts w:asciiTheme="minorHAnsi" w:hAnsiTheme="minorHAnsi"/>
        </w:rPr>
        <w:t>2</w:t>
      </w:r>
      <w:r w:rsidR="001A207C" w:rsidRPr="0003309D">
        <w:rPr>
          <w:rFonts w:asciiTheme="minorHAnsi" w:hAnsiTheme="minorHAnsi"/>
        </w:rPr>
        <w:t xml:space="preserve"> </w:t>
      </w:r>
      <w:r w:rsidR="001A207C" w:rsidRPr="0003309D">
        <w:rPr>
          <w:rFonts w:asciiTheme="minorHAnsi" w:hAnsiTheme="minorHAnsi"/>
        </w:rPr>
        <w:lastRenderedPageBreak/>
        <w:t xml:space="preserve">doctoral students whereas a larger team of 10 should recruit a minimum total of </w:t>
      </w:r>
      <w:r w:rsidR="003F7DA7">
        <w:rPr>
          <w:rFonts w:asciiTheme="minorHAnsi" w:hAnsiTheme="minorHAnsi"/>
        </w:rPr>
        <w:t>2</w:t>
      </w:r>
      <w:r w:rsidR="001A207C" w:rsidRPr="0003309D">
        <w:rPr>
          <w:rFonts w:asciiTheme="minorHAnsi" w:hAnsiTheme="minorHAnsi"/>
        </w:rPr>
        <w:t>0 students</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48F0E2D6"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3CDB6C" w14:textId="61423597" w:rsidR="00491937" w:rsidRDefault="00491937" w:rsidP="00491937">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w:textInput>
              <w:maxLength w:val="3000"/>
            </w:textInput>
          </w:ffData>
        </w:fldChar>
      </w:r>
      <w:bookmarkStart w:id="20"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p w14:paraId="6DE9A6C0" w14:textId="77777777" w:rsidR="00491937" w:rsidRPr="00491937" w:rsidRDefault="00491937" w:rsidP="00491937">
      <w:pPr>
        <w:spacing w:before="120" w:after="12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and postdoctoral fellows) to develop relevant technical skills as well as professional skills, such as leadership, communication, 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1"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21335588"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08DB1872" w14:textId="2940C0E8"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w:textInput>
              <w:maxLength w:val="9000"/>
            </w:textInput>
          </w:ffData>
        </w:fldChar>
      </w:r>
      <w:bookmarkStart w:id="21"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2"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016AED49"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Each Impact Project will have a budget of a maximum of $</w:t>
      </w:r>
      <w:r w:rsidR="00766738" w:rsidRPr="0003309D">
        <w:rPr>
          <w:rFonts w:asciiTheme="minorHAnsi" w:eastAsia="Calibri" w:hAnsiTheme="minorHAnsi" w:cs="Aparajita"/>
          <w:color w:val="000000" w:themeColor="text1"/>
        </w:rPr>
        <w:t>1,0</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section, prepare a separate document that provides a breakdown of each category and a detailed justification for spending in each category. 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Salaries and benefits: List the names (if known), employment categories, proposed salaries, and non-discretionary benefits for students, postdoctoral fellows, research 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lastRenderedPageBreak/>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 xml:space="preserve">living lab partnership process and actions (convening, hosting, collaborating governance, </w:t>
      </w:r>
      <w:proofErr w:type="spellStart"/>
      <w:r w:rsidRPr="0085033F">
        <w:rPr>
          <w:rFonts w:asciiTheme="minorHAnsi" w:hAnsiTheme="minorHAnsi"/>
        </w:rPr>
        <w:t>etc</w:t>
      </w:r>
      <w:proofErr w:type="spellEnd"/>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25C6564E" w14:textId="77777777" w:rsidR="0079321C" w:rsidRPr="0079321C" w:rsidRDefault="0079321C" w:rsidP="0079321C">
      <w:pPr>
        <w:spacing w:before="120" w:after="120"/>
        <w:rPr>
          <w:rFonts w:asciiTheme="minorHAnsi" w:hAnsiTheme="minorHAnsi"/>
        </w:rPr>
      </w:pPr>
      <w:r w:rsidRPr="0079321C">
        <w:rPr>
          <w:rFonts w:asciiTheme="minorHAnsi" w:hAnsiTheme="minorHAnsi"/>
          <w:highlight w:val="lightGray"/>
        </w:rPr>
        <w:t>INSERT YOUR TEXT BELOW, RESPONDING TO EACH OF THE ABOVE POINTS</w:t>
      </w:r>
    </w:p>
    <w:p w14:paraId="6B10BB52" w14:textId="424E7426" w:rsidR="0079321C" w:rsidRPr="0003309D" w:rsidRDefault="0079321C" w:rsidP="0079321C">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w:textInput>
              <w:maxLength w:val="6000"/>
            </w:textInput>
          </w:ffData>
        </w:fldChar>
      </w:r>
      <w:bookmarkStart w:id="22"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p w14:paraId="65567F87" w14:textId="77777777" w:rsidR="00CC7552" w:rsidRDefault="00CC7552" w:rsidP="00340F34">
      <w:pPr>
        <w:spacing w:before="120" w:after="120"/>
        <w:rPr>
          <w:rFonts w:asciiTheme="minorHAnsi" w:hAnsiTheme="minorHAnsi"/>
        </w:rPr>
      </w:pPr>
    </w:p>
    <w:p w14:paraId="6074B4AE" w14:textId="77777777" w:rsidR="0079321C" w:rsidRDefault="0079321C" w:rsidP="00340F34">
      <w:pPr>
        <w:spacing w:before="120" w:after="120"/>
        <w:rPr>
          <w:rFonts w:asciiTheme="minorHAnsi" w:hAnsiTheme="minorHAnsi"/>
        </w:rPr>
      </w:pPr>
    </w:p>
    <w:p w14:paraId="5824FC9C" w14:textId="77777777" w:rsidR="0079321C" w:rsidRDefault="0079321C" w:rsidP="00340F34">
      <w:pPr>
        <w:spacing w:before="120" w:after="120"/>
        <w:rPr>
          <w:rFonts w:asciiTheme="minorHAnsi" w:hAnsiTheme="minorHAnsi"/>
        </w:rPr>
      </w:pPr>
    </w:p>
    <w:p w14:paraId="5F7F9B50" w14:textId="77777777" w:rsidR="0079321C" w:rsidRDefault="0079321C" w:rsidP="00340F34">
      <w:pPr>
        <w:spacing w:before="120" w:after="120"/>
        <w:rPr>
          <w:rFonts w:asciiTheme="minorHAnsi" w:hAnsiTheme="minorHAnsi"/>
        </w:rPr>
      </w:pPr>
    </w:p>
    <w:p w14:paraId="78DDDD7C" w14:textId="77777777" w:rsidR="0079321C" w:rsidRPr="0003309D" w:rsidRDefault="0079321C"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lastRenderedPageBreak/>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340F34">
      <w:pPr>
        <w:pStyle w:val="ListParagraph"/>
        <w:spacing w:before="120" w:after="120"/>
        <w:ind w:left="714" w:hanging="357"/>
        <w:rPr>
          <w:rFonts w:asciiTheme="minorHAnsi" w:hAnsiTheme="minorHAnsi"/>
          <w:b/>
          <w:bCs/>
        </w:rPr>
      </w:pPr>
      <w:r w:rsidRPr="00506923">
        <w:rPr>
          <w:rFonts w:asciiTheme="minorHAnsi" w:hAnsiTheme="minorHAnsi"/>
          <w:b/>
          <w:bCs/>
        </w:rPr>
        <w:t>These pages are not included in the page count.</w:t>
      </w:r>
    </w:p>
    <w:p w14:paraId="56CA9B1D" w14:textId="5AACBA43" w:rsidR="0079321C" w:rsidRDefault="0079321C" w:rsidP="0079321C">
      <w:pPr>
        <w:spacing w:before="120" w:after="120"/>
        <w:rPr>
          <w:rFonts w:asciiTheme="minorHAnsi" w:hAnsiTheme="minorHAnsi"/>
        </w:rPr>
      </w:pPr>
      <w:r w:rsidRPr="0003309D">
        <w:rPr>
          <w:rFonts w:asciiTheme="minorHAnsi" w:hAnsiTheme="minorHAnsi"/>
          <w:highlight w:val="lightGray"/>
        </w:rPr>
        <w:t xml:space="preserve">INSERT YOUR TEXT </w:t>
      </w:r>
      <w:r>
        <w:rPr>
          <w:rFonts w:asciiTheme="minorHAnsi" w:hAnsiTheme="minorHAnsi"/>
          <w:highlight w:val="lightGray"/>
        </w:rPr>
        <w:t>BELOW</w:t>
      </w:r>
    </w:p>
    <w:p w14:paraId="2F03B2E8" w14:textId="77777777" w:rsidR="0085033F" w:rsidRDefault="0085033F" w:rsidP="004B5F17">
      <w:pPr>
        <w:spacing w:after="160" w:line="276" w:lineRule="auto"/>
        <w:rPr>
          <w:rFonts w:asciiTheme="minorHAnsi" w:hAnsiTheme="minorHAnsi"/>
        </w:rPr>
      </w:pPr>
    </w:p>
    <w:p w14:paraId="58648EC2" w14:textId="625D1607" w:rsidR="00491937" w:rsidRDefault="0079321C" w:rsidP="004B5F17">
      <w:pPr>
        <w:spacing w:after="160" w:line="276" w:lineRule="auto"/>
        <w:rPr>
          <w:rFonts w:asciiTheme="minorHAnsi" w:hAnsiTheme="minorHAnsi"/>
        </w:rPr>
      </w:pPr>
      <w:r>
        <w:rPr>
          <w:rFonts w:asciiTheme="minorHAnsi" w:hAnsiTheme="minorHAnsi"/>
        </w:rPr>
        <w:fldChar w:fldCharType="begin">
          <w:ffData>
            <w:name w:val="Text10"/>
            <w:enabled/>
            <w:calcOnExit w:val="0"/>
            <w:statusText w:type="text" w:val="INSERT YOUR TEXT BELOW"/>
            <w:textInput/>
          </w:ffData>
        </w:fldChar>
      </w:r>
      <w:bookmarkStart w:id="23"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p w14:paraId="4847AD8C" w14:textId="77777777" w:rsidR="00491937" w:rsidRDefault="00491937" w:rsidP="004B5F17">
      <w:pPr>
        <w:spacing w:after="160" w:line="276" w:lineRule="auto"/>
        <w:rPr>
          <w:rFonts w:asciiTheme="minorHAnsi" w:hAnsiTheme="minorHAnsi"/>
        </w:rPr>
      </w:pPr>
    </w:p>
    <w:p w14:paraId="382ED19E" w14:textId="77777777" w:rsidR="00491937" w:rsidRDefault="00491937" w:rsidP="004B5F17">
      <w:pPr>
        <w:spacing w:after="160" w:line="276" w:lineRule="auto"/>
        <w:rPr>
          <w:rFonts w:asciiTheme="minorHAnsi" w:hAnsiTheme="minorHAnsi"/>
        </w:rPr>
      </w:pPr>
    </w:p>
    <w:p w14:paraId="7CC24455" w14:textId="77777777" w:rsidR="00491937" w:rsidRDefault="00491937" w:rsidP="004B5F17">
      <w:pPr>
        <w:spacing w:after="160" w:line="276" w:lineRule="auto"/>
        <w:rPr>
          <w:rFonts w:asciiTheme="minorHAnsi" w:hAnsiTheme="minorHAnsi"/>
        </w:rPr>
      </w:pPr>
    </w:p>
    <w:p w14:paraId="5FAF2158" w14:textId="77777777" w:rsidR="00491937" w:rsidRDefault="00491937" w:rsidP="004B5F17">
      <w:pPr>
        <w:spacing w:after="160" w:line="276" w:lineRule="auto"/>
        <w:rPr>
          <w:rFonts w:asciiTheme="minorHAnsi" w:hAnsiTheme="minorHAnsi"/>
        </w:rPr>
      </w:pPr>
    </w:p>
    <w:p w14:paraId="5D2B157B" w14:textId="77777777" w:rsidR="00491937" w:rsidRDefault="00491937" w:rsidP="004B5F17">
      <w:pPr>
        <w:spacing w:after="160" w:line="276" w:lineRule="auto"/>
        <w:rPr>
          <w:rFonts w:asciiTheme="minorHAnsi" w:hAnsiTheme="minorHAnsi"/>
        </w:rPr>
      </w:pPr>
    </w:p>
    <w:p w14:paraId="3BB05DC6" w14:textId="77777777" w:rsidR="00491937" w:rsidRDefault="00491937" w:rsidP="004B5F17">
      <w:pPr>
        <w:spacing w:after="160" w:line="276" w:lineRule="auto"/>
        <w:rPr>
          <w:rFonts w:asciiTheme="minorHAnsi" w:hAnsiTheme="minorHAnsi"/>
        </w:rPr>
      </w:pPr>
    </w:p>
    <w:p w14:paraId="3CD06082" w14:textId="77777777" w:rsidR="00491937" w:rsidRDefault="00491937" w:rsidP="004B5F17">
      <w:pPr>
        <w:spacing w:after="160" w:line="276" w:lineRule="auto"/>
        <w:rPr>
          <w:rFonts w:asciiTheme="minorHAnsi" w:hAnsiTheme="minorHAnsi"/>
        </w:rPr>
      </w:pPr>
    </w:p>
    <w:p w14:paraId="78E1DF1A" w14:textId="77777777" w:rsidR="00491937" w:rsidRDefault="00491937" w:rsidP="004B5F17">
      <w:pPr>
        <w:spacing w:after="160" w:line="276" w:lineRule="auto"/>
        <w:rPr>
          <w:rFonts w:asciiTheme="minorHAnsi" w:hAnsiTheme="minorHAnsi"/>
        </w:rPr>
      </w:pPr>
    </w:p>
    <w:p w14:paraId="7F6CEC99" w14:textId="77777777" w:rsidR="00491937" w:rsidRDefault="00491937" w:rsidP="004B5F17">
      <w:pPr>
        <w:spacing w:after="160" w:line="276" w:lineRule="auto"/>
        <w:rPr>
          <w:rFonts w:asciiTheme="minorHAnsi" w:hAnsiTheme="minorHAnsi"/>
        </w:rPr>
      </w:pPr>
    </w:p>
    <w:p w14:paraId="572475F8" w14:textId="77777777" w:rsidR="00491937" w:rsidRDefault="00491937" w:rsidP="004B5F17">
      <w:pPr>
        <w:spacing w:after="160" w:line="276" w:lineRule="auto"/>
        <w:rPr>
          <w:rFonts w:asciiTheme="minorHAnsi" w:hAnsiTheme="minorHAnsi"/>
        </w:rPr>
      </w:pPr>
    </w:p>
    <w:p w14:paraId="37A4F60E" w14:textId="77777777" w:rsidR="0079321C" w:rsidRDefault="0079321C" w:rsidP="004B5F17">
      <w:pPr>
        <w:spacing w:after="160" w:line="276" w:lineRule="auto"/>
        <w:rPr>
          <w:rFonts w:asciiTheme="minorHAnsi" w:hAnsiTheme="minorHAnsi"/>
        </w:rPr>
      </w:pPr>
    </w:p>
    <w:p w14:paraId="29743F61" w14:textId="77777777" w:rsidR="0079321C" w:rsidRDefault="0079321C" w:rsidP="004B5F17">
      <w:pPr>
        <w:spacing w:after="160" w:line="276" w:lineRule="auto"/>
        <w:rPr>
          <w:rFonts w:asciiTheme="minorHAnsi" w:hAnsiTheme="minorHAnsi"/>
        </w:rPr>
      </w:pPr>
    </w:p>
    <w:p w14:paraId="6038F014" w14:textId="77777777" w:rsidR="0079321C" w:rsidRDefault="0079321C" w:rsidP="004B5F17">
      <w:pPr>
        <w:spacing w:after="160" w:line="276" w:lineRule="auto"/>
        <w:rPr>
          <w:rFonts w:asciiTheme="minorHAnsi" w:hAnsiTheme="minorHAnsi"/>
        </w:rPr>
      </w:pPr>
    </w:p>
    <w:p w14:paraId="7498ECAE" w14:textId="77777777" w:rsidR="0079321C" w:rsidRDefault="0079321C" w:rsidP="004B5F17">
      <w:pPr>
        <w:spacing w:after="160" w:line="276" w:lineRule="auto"/>
        <w:rPr>
          <w:rFonts w:asciiTheme="minorHAnsi" w:hAnsiTheme="minorHAnsi"/>
        </w:rPr>
      </w:pPr>
    </w:p>
    <w:p w14:paraId="4768D58E" w14:textId="77777777" w:rsidR="0079321C" w:rsidRDefault="0079321C" w:rsidP="004B5F17">
      <w:pPr>
        <w:spacing w:after="160" w:line="276" w:lineRule="auto"/>
        <w:rPr>
          <w:rFonts w:asciiTheme="minorHAnsi" w:hAnsiTheme="minorHAnsi"/>
        </w:rPr>
      </w:pPr>
    </w:p>
    <w:p w14:paraId="66D459F8" w14:textId="77777777" w:rsidR="0079321C" w:rsidRDefault="0079321C" w:rsidP="004B5F17">
      <w:pPr>
        <w:spacing w:after="160" w:line="276" w:lineRule="auto"/>
        <w:rPr>
          <w:rFonts w:asciiTheme="minorHAnsi" w:hAnsiTheme="minorHAnsi"/>
        </w:rPr>
      </w:pPr>
    </w:p>
    <w:p w14:paraId="55251900" w14:textId="77777777" w:rsidR="0079321C" w:rsidRDefault="0079321C" w:rsidP="004B5F17">
      <w:pPr>
        <w:spacing w:after="160" w:line="276" w:lineRule="auto"/>
        <w:rPr>
          <w:rFonts w:asciiTheme="minorHAnsi" w:hAnsiTheme="minorHAnsi"/>
        </w:rPr>
      </w:pPr>
    </w:p>
    <w:p w14:paraId="33CDCF3D" w14:textId="77777777" w:rsidR="0079321C" w:rsidRDefault="0079321C" w:rsidP="004B5F17">
      <w:pPr>
        <w:spacing w:after="160" w:line="276" w:lineRule="auto"/>
        <w:rPr>
          <w:rFonts w:asciiTheme="minorHAnsi" w:hAnsiTheme="minorHAnsi"/>
        </w:rPr>
      </w:pPr>
    </w:p>
    <w:p w14:paraId="0C72181C" w14:textId="77777777" w:rsidR="00491937" w:rsidRDefault="00491937" w:rsidP="004B5F17">
      <w:pPr>
        <w:spacing w:after="160" w:line="276" w:lineRule="auto"/>
        <w:rPr>
          <w:rFonts w:asciiTheme="minorHAnsi" w:hAnsiTheme="minorHAnsi"/>
        </w:rPr>
      </w:pPr>
    </w:p>
    <w:p w14:paraId="1F9E3AD9" w14:textId="61881B4E"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b/>
          <w:bCs/>
          <w:color w:val="000000" w:themeColor="text1"/>
          <w:sz w:val="28"/>
          <w:szCs w:val="28"/>
          <w:u w:val="single"/>
          <w:lang w:val="en-US"/>
        </w:rPr>
        <w:lastRenderedPageBreak/>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43233812" w14:textId="56EE7BB7" w:rsidR="0462B3C7" w:rsidRPr="0003309D" w:rsidRDefault="0462B3C7" w:rsidP="0462B3C7">
      <w:pPr>
        <w:rPr>
          <w:rFonts w:asciiTheme="minorHAnsi" w:hAnsiTheme="minorHAnsi"/>
          <w:highlight w:val="lightGray"/>
        </w:rPr>
      </w:pPr>
    </w:p>
    <w:sectPr w:rsidR="0462B3C7" w:rsidRPr="0003309D">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0D70" w14:textId="77777777" w:rsidR="006C17BC" w:rsidRDefault="006C17BC" w:rsidP="00340F34">
      <w:pPr>
        <w:spacing w:after="0"/>
      </w:pPr>
      <w:r>
        <w:separator/>
      </w:r>
    </w:p>
  </w:endnote>
  <w:endnote w:type="continuationSeparator" w:id="0">
    <w:p w14:paraId="3631F341" w14:textId="77777777" w:rsidR="006C17BC" w:rsidRDefault="006C17BC" w:rsidP="00340F34">
      <w:pPr>
        <w:spacing w:after="0"/>
      </w:pPr>
      <w:r>
        <w:continuationSeparator/>
      </w:r>
    </w:p>
  </w:endnote>
  <w:endnote w:type="continuationNotice" w:id="1">
    <w:p w14:paraId="04B57856" w14:textId="77777777" w:rsidR="006C17BC" w:rsidRDefault="006C17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71718"/>
      <w:docPartObj>
        <w:docPartGallery w:val="Page Numbers (Bottom of Page)"/>
        <w:docPartUnique/>
      </w:docPartObj>
    </w:sdt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rPr>
      <w:id w:val="-1891098798"/>
      <w:docPartObj>
        <w:docPartGallery w:val="Page Numbers (Bottom of Page)"/>
        <w:docPartUnique/>
      </w:docPartObj>
    </w:sdt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0F3CF894" w14:textId="66800D07" w:rsidR="00E47E5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1956D6" w:rsidRPr="0066121B">
      <w:rPr>
        <w:rFonts w:asciiTheme="minorHAnsi" w:hAnsiTheme="minorHAnsi" w:cs="Arial"/>
        <w:color w:val="929697"/>
      </w:rPr>
      <w:t>December</w:t>
    </w:r>
    <w:r w:rsidR="00506923" w:rsidRPr="0066121B">
      <w:rPr>
        <w:rFonts w:asciiTheme="minorHAnsi" w:hAnsiTheme="minorHAnsi" w:cs="Arial"/>
        <w:color w:val="929697"/>
      </w:rPr>
      <w:t xml:space="preserve"> 1</w:t>
    </w:r>
    <w:r w:rsidR="00491937">
      <w:rPr>
        <w:rFonts w:asciiTheme="minorHAnsi" w:hAnsiTheme="minorHAnsi" w:cs="Arial"/>
        <w:color w:val="929697"/>
      </w:rPr>
      <w:t>7</w:t>
    </w:r>
    <w:r w:rsidR="00CE10B3" w:rsidRPr="0066121B">
      <w:rPr>
        <w:rFonts w:asciiTheme="minorHAnsi" w:hAnsiTheme="minorHAnsi" w:cs="Arial"/>
        <w:color w:val="929697"/>
      </w:rPr>
      <w:t>,</w:t>
    </w:r>
    <w:r w:rsidR="001956D6" w:rsidRPr="0066121B">
      <w:rPr>
        <w:rFonts w:asciiTheme="minorHAnsi" w:hAnsiTheme="minorHAnsi" w:cs="Arial"/>
        <w:color w:val="929697"/>
      </w:rPr>
      <w:t xml:space="preserve"> </w:t>
    </w:r>
    <w:r w:rsidRPr="0066121B">
      <w:rPr>
        <w:rFonts w:asciiTheme="minorHAnsi" w:hAnsiTheme="minorHAnsi" w:cs="Arial"/>
        <w:color w:val="929697"/>
      </w:rPr>
      <w:t>202</w:t>
    </w:r>
    <w:r w:rsidR="00340F34" w:rsidRPr="0066121B">
      <w:rPr>
        <w:rFonts w:asciiTheme="minorHAnsi" w:hAnsiTheme="minorHAnsi" w:cs="Arial"/>
        <w:color w:val="929697"/>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10A6" w14:textId="77777777" w:rsidR="00E47E52" w:rsidRPr="006A7609" w:rsidRDefault="003C1559" w:rsidP="00CC6FC7">
    <w:pPr>
      <w:pStyle w:val="Footer"/>
      <w:rPr>
        <w:lang w:val="fr-CA"/>
      </w:rPr>
    </w:pPr>
    <w:r w:rsidRPr="006A7609">
      <w:rPr>
        <w:lang w:val="fr-CA"/>
      </w:rPr>
      <w:t xml:space="preserve">Date </w:t>
    </w:r>
    <w:proofErr w:type="spellStart"/>
    <w:r w:rsidRPr="006A7609">
      <w:rPr>
        <w:lang w:val="fr-CA"/>
      </w:rPr>
      <w:t>modified</w:t>
    </w:r>
    <w:proofErr w:type="spellEnd"/>
    <w:r w:rsidRPr="006A7609">
      <w:rPr>
        <w:lang w:val="fr-CA"/>
      </w:rPr>
      <w:t xml:space="preserve">: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5476" w14:textId="77777777" w:rsidR="006C17BC" w:rsidRDefault="006C17BC" w:rsidP="00340F34">
      <w:pPr>
        <w:spacing w:after="0"/>
      </w:pPr>
      <w:r>
        <w:separator/>
      </w:r>
    </w:p>
  </w:footnote>
  <w:footnote w:type="continuationSeparator" w:id="0">
    <w:p w14:paraId="0D02D427" w14:textId="77777777" w:rsidR="006C17BC" w:rsidRDefault="006C17BC" w:rsidP="00340F34">
      <w:pPr>
        <w:spacing w:after="0"/>
      </w:pPr>
      <w:r>
        <w:continuationSeparator/>
      </w:r>
    </w:p>
  </w:footnote>
  <w:footnote w:type="continuationNotice" w:id="1">
    <w:p w14:paraId="2E8D9898" w14:textId="77777777" w:rsidR="006C17BC" w:rsidRDefault="006C17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4"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6" w15:restartNumberingAfterBreak="0">
    <w:nsid w:val="48941FB8"/>
    <w:multiLevelType w:val="multilevel"/>
    <w:tmpl w:val="FAF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19"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1"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25" w15:restartNumberingAfterBreak="0">
    <w:nsid w:val="78412165"/>
    <w:multiLevelType w:val="hybridMultilevel"/>
    <w:tmpl w:val="940640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30379543">
    <w:abstractNumId w:val="0"/>
  </w:num>
  <w:num w:numId="2" w16cid:durableId="480079631">
    <w:abstractNumId w:val="15"/>
  </w:num>
  <w:num w:numId="3" w16cid:durableId="249313155">
    <w:abstractNumId w:val="13"/>
  </w:num>
  <w:num w:numId="4" w16cid:durableId="1922517992">
    <w:abstractNumId w:val="24"/>
  </w:num>
  <w:num w:numId="5" w16cid:durableId="1651134439">
    <w:abstractNumId w:val="18"/>
  </w:num>
  <w:num w:numId="6" w16cid:durableId="101733871">
    <w:abstractNumId w:val="11"/>
  </w:num>
  <w:num w:numId="7" w16cid:durableId="1944651992">
    <w:abstractNumId w:val="12"/>
  </w:num>
  <w:num w:numId="8" w16cid:durableId="1220748404">
    <w:abstractNumId w:val="8"/>
  </w:num>
  <w:num w:numId="9" w16cid:durableId="2033610437">
    <w:abstractNumId w:val="20"/>
  </w:num>
  <w:num w:numId="10" w16cid:durableId="1800489492">
    <w:abstractNumId w:val="3"/>
  </w:num>
  <w:num w:numId="11" w16cid:durableId="1891989220">
    <w:abstractNumId w:val="10"/>
  </w:num>
  <w:num w:numId="12" w16cid:durableId="1627655858">
    <w:abstractNumId w:val="14"/>
  </w:num>
  <w:num w:numId="13" w16cid:durableId="1272710768">
    <w:abstractNumId w:val="6"/>
  </w:num>
  <w:num w:numId="14" w16cid:durableId="180168009">
    <w:abstractNumId w:val="25"/>
  </w:num>
  <w:num w:numId="15" w16cid:durableId="815755739">
    <w:abstractNumId w:val="17"/>
  </w:num>
  <w:num w:numId="16" w16cid:durableId="1189366061">
    <w:abstractNumId w:val="9"/>
  </w:num>
  <w:num w:numId="17" w16cid:durableId="2063022662">
    <w:abstractNumId w:val="4"/>
  </w:num>
  <w:num w:numId="18" w16cid:durableId="617679875">
    <w:abstractNumId w:val="23"/>
  </w:num>
  <w:num w:numId="19" w16cid:durableId="1190218857">
    <w:abstractNumId w:val="22"/>
  </w:num>
  <w:num w:numId="20" w16cid:durableId="1197741327">
    <w:abstractNumId w:val="5"/>
  </w:num>
  <w:num w:numId="21" w16cid:durableId="1815903237">
    <w:abstractNumId w:val="1"/>
  </w:num>
  <w:num w:numId="22" w16cid:durableId="2012489970">
    <w:abstractNumId w:val="2"/>
  </w:num>
  <w:num w:numId="23" w16cid:durableId="250045244">
    <w:abstractNumId w:val="21"/>
  </w:num>
  <w:num w:numId="24" w16cid:durableId="788544657">
    <w:abstractNumId w:val="16"/>
  </w:num>
  <w:num w:numId="25" w16cid:durableId="1029643986">
    <w:abstractNumId w:val="7"/>
  </w:num>
  <w:num w:numId="26" w16cid:durableId="449856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3309D"/>
    <w:rsid w:val="000336DD"/>
    <w:rsid w:val="00037D21"/>
    <w:rsid w:val="00075AF0"/>
    <w:rsid w:val="00080E2C"/>
    <w:rsid w:val="00081418"/>
    <w:rsid w:val="000A0087"/>
    <w:rsid w:val="000A121D"/>
    <w:rsid w:val="000A2D44"/>
    <w:rsid w:val="000B6593"/>
    <w:rsid w:val="000B7D69"/>
    <w:rsid w:val="000C08AA"/>
    <w:rsid w:val="00116BE0"/>
    <w:rsid w:val="00120450"/>
    <w:rsid w:val="00137114"/>
    <w:rsid w:val="00150BCE"/>
    <w:rsid w:val="001611F9"/>
    <w:rsid w:val="001804F8"/>
    <w:rsid w:val="001929E7"/>
    <w:rsid w:val="001956D6"/>
    <w:rsid w:val="001A207C"/>
    <w:rsid w:val="001A412A"/>
    <w:rsid w:val="001A6CB3"/>
    <w:rsid w:val="001F34DE"/>
    <w:rsid w:val="001F575E"/>
    <w:rsid w:val="00202A54"/>
    <w:rsid w:val="00204E58"/>
    <w:rsid w:val="002502B6"/>
    <w:rsid w:val="00263F26"/>
    <w:rsid w:val="0029370C"/>
    <w:rsid w:val="00297EB4"/>
    <w:rsid w:val="002C4D6E"/>
    <w:rsid w:val="002D7456"/>
    <w:rsid w:val="002E0A41"/>
    <w:rsid w:val="002E6B3F"/>
    <w:rsid w:val="00302B30"/>
    <w:rsid w:val="003035B3"/>
    <w:rsid w:val="00304767"/>
    <w:rsid w:val="00335234"/>
    <w:rsid w:val="0033694F"/>
    <w:rsid w:val="00340F34"/>
    <w:rsid w:val="00343732"/>
    <w:rsid w:val="003439AA"/>
    <w:rsid w:val="003519A3"/>
    <w:rsid w:val="00362D25"/>
    <w:rsid w:val="003952C5"/>
    <w:rsid w:val="003A7474"/>
    <w:rsid w:val="003B5CAE"/>
    <w:rsid w:val="003C1559"/>
    <w:rsid w:val="003C69B4"/>
    <w:rsid w:val="003E36F1"/>
    <w:rsid w:val="003F7DA7"/>
    <w:rsid w:val="00416025"/>
    <w:rsid w:val="00417898"/>
    <w:rsid w:val="00440910"/>
    <w:rsid w:val="00440C9E"/>
    <w:rsid w:val="004616B2"/>
    <w:rsid w:val="0046609D"/>
    <w:rsid w:val="004855A8"/>
    <w:rsid w:val="00491937"/>
    <w:rsid w:val="004936A5"/>
    <w:rsid w:val="004B5F17"/>
    <w:rsid w:val="004C17DE"/>
    <w:rsid w:val="004C1DE3"/>
    <w:rsid w:val="004C6FA7"/>
    <w:rsid w:val="004D164E"/>
    <w:rsid w:val="00506923"/>
    <w:rsid w:val="00523F9B"/>
    <w:rsid w:val="00526735"/>
    <w:rsid w:val="00542680"/>
    <w:rsid w:val="00563044"/>
    <w:rsid w:val="005723CF"/>
    <w:rsid w:val="00577638"/>
    <w:rsid w:val="005853AF"/>
    <w:rsid w:val="00594186"/>
    <w:rsid w:val="005976E6"/>
    <w:rsid w:val="006000CA"/>
    <w:rsid w:val="00600A7E"/>
    <w:rsid w:val="00615B17"/>
    <w:rsid w:val="00644270"/>
    <w:rsid w:val="0066121B"/>
    <w:rsid w:val="0066143E"/>
    <w:rsid w:val="00662396"/>
    <w:rsid w:val="00665F9E"/>
    <w:rsid w:val="00672798"/>
    <w:rsid w:val="006770AC"/>
    <w:rsid w:val="006C17BC"/>
    <w:rsid w:val="006D4D79"/>
    <w:rsid w:val="00744E2B"/>
    <w:rsid w:val="00747036"/>
    <w:rsid w:val="007504D6"/>
    <w:rsid w:val="00757AF2"/>
    <w:rsid w:val="00765457"/>
    <w:rsid w:val="00765A67"/>
    <w:rsid w:val="00766738"/>
    <w:rsid w:val="00766AC9"/>
    <w:rsid w:val="00777120"/>
    <w:rsid w:val="00790BBC"/>
    <w:rsid w:val="0079321C"/>
    <w:rsid w:val="007C0D22"/>
    <w:rsid w:val="007C25F9"/>
    <w:rsid w:val="007D3E25"/>
    <w:rsid w:val="007E2E5F"/>
    <w:rsid w:val="0080021D"/>
    <w:rsid w:val="008005EF"/>
    <w:rsid w:val="00832E50"/>
    <w:rsid w:val="0085033F"/>
    <w:rsid w:val="008C251C"/>
    <w:rsid w:val="008C4546"/>
    <w:rsid w:val="008D1DAD"/>
    <w:rsid w:val="008D4E88"/>
    <w:rsid w:val="009034B0"/>
    <w:rsid w:val="00906691"/>
    <w:rsid w:val="00916701"/>
    <w:rsid w:val="00920DFF"/>
    <w:rsid w:val="00924F8A"/>
    <w:rsid w:val="00952600"/>
    <w:rsid w:val="00961780"/>
    <w:rsid w:val="00976AD9"/>
    <w:rsid w:val="009A0E4B"/>
    <w:rsid w:val="009D6066"/>
    <w:rsid w:val="009D6967"/>
    <w:rsid w:val="009E1430"/>
    <w:rsid w:val="009E236D"/>
    <w:rsid w:val="009F18A5"/>
    <w:rsid w:val="009F3233"/>
    <w:rsid w:val="00A0590C"/>
    <w:rsid w:val="00A11D8B"/>
    <w:rsid w:val="00A14F4B"/>
    <w:rsid w:val="00A15A36"/>
    <w:rsid w:val="00A20B8B"/>
    <w:rsid w:val="00A253CC"/>
    <w:rsid w:val="00A83D49"/>
    <w:rsid w:val="00A90128"/>
    <w:rsid w:val="00AB73D5"/>
    <w:rsid w:val="00AC28F5"/>
    <w:rsid w:val="00AC7A61"/>
    <w:rsid w:val="00AD7E67"/>
    <w:rsid w:val="00B07A61"/>
    <w:rsid w:val="00B11669"/>
    <w:rsid w:val="00B238A2"/>
    <w:rsid w:val="00B2519B"/>
    <w:rsid w:val="00B572CE"/>
    <w:rsid w:val="00B74178"/>
    <w:rsid w:val="00B9122C"/>
    <w:rsid w:val="00BA0C60"/>
    <w:rsid w:val="00BB2AC3"/>
    <w:rsid w:val="00BB3D39"/>
    <w:rsid w:val="00BD2CBB"/>
    <w:rsid w:val="00BE5696"/>
    <w:rsid w:val="00BF5234"/>
    <w:rsid w:val="00C01581"/>
    <w:rsid w:val="00C1532B"/>
    <w:rsid w:val="00C1555F"/>
    <w:rsid w:val="00C20E33"/>
    <w:rsid w:val="00C45E45"/>
    <w:rsid w:val="00C84F85"/>
    <w:rsid w:val="00C94D2F"/>
    <w:rsid w:val="00C95E4A"/>
    <w:rsid w:val="00CC7552"/>
    <w:rsid w:val="00CD5269"/>
    <w:rsid w:val="00CD78E0"/>
    <w:rsid w:val="00CE10B3"/>
    <w:rsid w:val="00D03B8A"/>
    <w:rsid w:val="00D5343F"/>
    <w:rsid w:val="00D64D04"/>
    <w:rsid w:val="00D80847"/>
    <w:rsid w:val="00D80C3D"/>
    <w:rsid w:val="00DA464C"/>
    <w:rsid w:val="00DB0793"/>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72D9A"/>
    <w:rsid w:val="00E778B2"/>
    <w:rsid w:val="00E77E7A"/>
    <w:rsid w:val="00E837F3"/>
    <w:rsid w:val="00EA2D30"/>
    <w:rsid w:val="00EB5575"/>
    <w:rsid w:val="00EB7E9D"/>
    <w:rsid w:val="00EC12C2"/>
    <w:rsid w:val="00EC3A0A"/>
    <w:rsid w:val="00EF048E"/>
    <w:rsid w:val="00F10DA3"/>
    <w:rsid w:val="00F25EF8"/>
    <w:rsid w:val="00F27678"/>
    <w:rsid w:val="00F30B56"/>
    <w:rsid w:val="00F43D04"/>
    <w:rsid w:val="00F5121B"/>
    <w:rsid w:val="00F6264D"/>
    <w:rsid w:val="00F6500F"/>
    <w:rsid w:val="00F70E55"/>
    <w:rsid w:val="00F83C98"/>
    <w:rsid w:val="00F845B0"/>
    <w:rsid w:val="00F86F37"/>
    <w:rsid w:val="00FA5A2B"/>
    <w:rsid w:val="00FD2A03"/>
    <w:rsid w:val="0462B3C7"/>
    <w:rsid w:val="07076089"/>
    <w:rsid w:val="0F32C69B"/>
    <w:rsid w:val="116FF7CF"/>
    <w:rsid w:val="122A0564"/>
    <w:rsid w:val="17C50881"/>
    <w:rsid w:val="18A60867"/>
    <w:rsid w:val="1D21735D"/>
    <w:rsid w:val="2497C4E9"/>
    <w:rsid w:val="31F85572"/>
    <w:rsid w:val="32A2F731"/>
    <w:rsid w:val="3519C82E"/>
    <w:rsid w:val="36EBEE82"/>
    <w:rsid w:val="37137672"/>
    <w:rsid w:val="3B40F1DB"/>
    <w:rsid w:val="3D82290B"/>
    <w:rsid w:val="3E0D4453"/>
    <w:rsid w:val="4065B418"/>
    <w:rsid w:val="43274D5C"/>
    <w:rsid w:val="4395FF02"/>
    <w:rsid w:val="44733516"/>
    <w:rsid w:val="45FB667D"/>
    <w:rsid w:val="492B1D90"/>
    <w:rsid w:val="4A8F52A6"/>
    <w:rsid w:val="4F60BCA1"/>
    <w:rsid w:val="4F627016"/>
    <w:rsid w:val="532CFEE1"/>
    <w:rsid w:val="539C9156"/>
    <w:rsid w:val="53B653EE"/>
    <w:rsid w:val="5C5EBE11"/>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about/themes-and-platforms.html" TargetMode="External"/><Relationship Id="rId3" Type="http://schemas.openxmlformats.org/officeDocument/2006/relationships/customXml" Target="../customXml/item3.xml"/><Relationship Id="rId21" Type="http://schemas.openxmlformats.org/officeDocument/2006/relationships/hyperlink" Target="https://www.nserc-crsng.gc.ca/_doc/alliance/EDI-TrainingPlan_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ience.gc.ca/site/science/en/safeguarding-your-research/guidelines-and-tools-implement-research-security/national-security-guidelines-research-partne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nserc-crsng.gc.ca/Colleges-Colleges/Resources-Ressources/Indigenous-Autochtones_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serc-crsng.gc.ca/InterAgency-Interorganismes/TAFA-AFTO/guide-guide_eng.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customXml/itemProps4.xml><?xml version="1.0" encoding="utf-8"?>
<ds:datastoreItem xmlns:ds="http://schemas.openxmlformats.org/officeDocument/2006/customXml" ds:itemID="{FE9E758A-8B49-4566-AA2B-3BADB5E82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6</cp:revision>
  <dcterms:created xsi:type="dcterms:W3CDTF">2024-12-16T14:50:00Z</dcterms:created>
  <dcterms:modified xsi:type="dcterms:W3CDTF">2024-12-17T18:07:00Z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